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F67A2" w14:textId="2B9498D7" w:rsidR="008775D3" w:rsidRDefault="008775D3" w:rsidP="008775D3">
      <w:pPr>
        <w:pStyle w:val="MDPI62BackMatter"/>
        <w:spacing w:before="240"/>
        <w:ind w:left="0"/>
        <w:rPr>
          <w:color w:val="auto"/>
        </w:rPr>
      </w:pPr>
      <w:r w:rsidRPr="008775D3">
        <w:rPr>
          <w:b/>
          <w:color w:val="auto"/>
        </w:rPr>
        <w:t>Figure S1.</w:t>
      </w:r>
      <w:r w:rsidRPr="008775D3">
        <w:rPr>
          <w:color w:val="auto"/>
        </w:rPr>
        <w:t xml:space="preserve"> </w:t>
      </w:r>
      <w:r w:rsidRPr="008775D3">
        <w:rPr>
          <w:b/>
          <w:bCs/>
          <w:color w:val="auto"/>
        </w:rPr>
        <w:t xml:space="preserve">Retinal function further decreases in 3 and 5 months of age </w:t>
      </w:r>
      <w:r w:rsidRPr="008775D3">
        <w:rPr>
          <w:b/>
          <w:bCs/>
          <w:i/>
          <w:iCs/>
          <w:color w:val="auto"/>
        </w:rPr>
        <w:t>Crb1</w:t>
      </w:r>
      <w:r w:rsidRPr="008775D3">
        <w:rPr>
          <w:b/>
          <w:bCs/>
          <w:color w:val="auto"/>
        </w:rPr>
        <w:t xml:space="preserve"> mutant compared to control rats. </w:t>
      </w:r>
      <w:r w:rsidRPr="008775D3">
        <w:rPr>
          <w:color w:val="auto"/>
        </w:rPr>
        <w:t xml:space="preserve">Quantitative analysis of the scotopic a-wave (A) and b-wave (B), the photopic b-wave (C), the b-wave/a-wave amplitude and b/a-ratios (b/a) (D), and the flicker amplitude response (E) in 3 and 5 months of age </w:t>
      </w:r>
      <w:r w:rsidRPr="008775D3">
        <w:rPr>
          <w:i/>
          <w:iCs/>
          <w:color w:val="auto"/>
        </w:rPr>
        <w:t>Crb1</w:t>
      </w:r>
      <w:r w:rsidRPr="008775D3">
        <w:rPr>
          <w:color w:val="auto"/>
        </w:rPr>
        <w:t xml:space="preserve"> mutant and control rats. Boxes indicate the 25 and 75% quantile range and whiskers indicate the 5 and 95% quantiles, and the intersection of line and error bar indicates the median of the data (box-and-whisker plot). Number of animals used for 3 months: control=8, </w:t>
      </w:r>
      <w:r w:rsidRPr="008775D3">
        <w:rPr>
          <w:i/>
          <w:iCs/>
          <w:color w:val="auto"/>
        </w:rPr>
        <w:t>Crb1</w:t>
      </w:r>
      <w:r w:rsidRPr="008775D3">
        <w:rPr>
          <w:color w:val="auto"/>
        </w:rPr>
        <w:t xml:space="preserve"> mutant =6, and 5M: control=6, </w:t>
      </w:r>
      <w:r w:rsidRPr="008775D3">
        <w:rPr>
          <w:i/>
          <w:iCs/>
          <w:color w:val="auto"/>
        </w:rPr>
        <w:t>Crb1</w:t>
      </w:r>
      <w:r w:rsidRPr="008775D3">
        <w:rPr>
          <w:color w:val="auto"/>
        </w:rPr>
        <w:t xml:space="preserve"> mutant =6. Mean ± SEM. * P &lt; 0.05; ** P &lt; 0.01; *** P &lt; 0.001; **** P &lt; 0.0001.</w:t>
      </w:r>
    </w:p>
    <w:p w14:paraId="7EB834F6" w14:textId="77777777" w:rsidR="00DD3D7E" w:rsidRPr="008775D3" w:rsidRDefault="00DD3D7E" w:rsidP="008775D3">
      <w:pPr>
        <w:pStyle w:val="MDPI62BackMatter"/>
        <w:spacing w:before="240"/>
        <w:ind w:left="0"/>
        <w:rPr>
          <w:color w:val="auto"/>
        </w:rPr>
      </w:pPr>
    </w:p>
    <w:p w14:paraId="63C8DB5E" w14:textId="77777777" w:rsidR="00DD3D7E" w:rsidRDefault="00DD3D7E" w:rsidP="00DD3D7E">
      <w:pPr>
        <w:pStyle w:val="MDPI62BackMatter"/>
        <w:ind w:left="0"/>
      </w:pPr>
      <w:r>
        <w:rPr>
          <w:b/>
        </w:rPr>
        <w:t>Figure S2.</w:t>
      </w:r>
      <w:r w:rsidRPr="00761C9F">
        <w:t xml:space="preserve"> </w:t>
      </w:r>
      <w:r w:rsidRPr="0027383A">
        <w:rPr>
          <w:b/>
          <w:bCs/>
        </w:rPr>
        <w:t xml:space="preserve">Predominantly MGC transduction upon subretinal or intravitreal delivery of ShH10Y in both control and </w:t>
      </w:r>
      <w:r w:rsidRPr="0027383A">
        <w:rPr>
          <w:b/>
          <w:bCs/>
          <w:i/>
          <w:iCs/>
        </w:rPr>
        <w:t>Crb1</w:t>
      </w:r>
      <w:r w:rsidRPr="0027383A">
        <w:rPr>
          <w:b/>
          <w:bCs/>
        </w:rPr>
        <w:t xml:space="preserve"> mutant rat retina. </w:t>
      </w:r>
      <w:r w:rsidRPr="0027383A">
        <w:t xml:space="preserve">ShH10Y transduction at P5 subretinal (A-B), or intravitreal (C-D), and P8 subretinal (E-F), or intravitreal (G-H) in one month control (A, C, E, G) or </w:t>
      </w:r>
      <w:r w:rsidRPr="0027383A">
        <w:rPr>
          <w:i/>
          <w:iCs/>
        </w:rPr>
        <w:t>Crb1</w:t>
      </w:r>
      <w:r w:rsidRPr="0027383A">
        <w:t xml:space="preserve"> mutant (B, D, F, H) rats retina. Co-stained with glutamine synthetase (GS; red), co-localization of GFP and GS indicated with arrowheads. At least n=2 eyes used per time point. INL = inner nuclear layer, ONL = outer nuclear layer. SR = subretinal injection, IV = intravitreal injection. Scale bar: 20</w:t>
      </w:r>
      <w:r>
        <w:t xml:space="preserve"> </w:t>
      </w:r>
      <w:r w:rsidRPr="0027383A">
        <w:t>µm.</w:t>
      </w:r>
    </w:p>
    <w:p w14:paraId="38533817" w14:textId="77777777" w:rsidR="008775D3" w:rsidRPr="008775D3" w:rsidRDefault="008775D3" w:rsidP="008775D3">
      <w:pPr>
        <w:pStyle w:val="MDPI62BackMatter"/>
        <w:ind w:left="0"/>
        <w:rPr>
          <w:b/>
          <w:color w:val="auto"/>
        </w:rPr>
      </w:pPr>
      <w:bookmarkStart w:id="0" w:name="_GoBack"/>
      <w:bookmarkEnd w:id="0"/>
    </w:p>
    <w:p w14:paraId="4F6173D5" w14:textId="77777777" w:rsidR="00E777A6" w:rsidRDefault="00E777A6" w:rsidP="00E777A6">
      <w:pPr>
        <w:pStyle w:val="MDPI62BackMatter"/>
        <w:ind w:left="0"/>
      </w:pPr>
      <w:r>
        <w:rPr>
          <w:b/>
        </w:rPr>
        <w:t>Figure S3.</w:t>
      </w:r>
      <w:r w:rsidRPr="00761C9F">
        <w:t xml:space="preserve"> </w:t>
      </w:r>
      <w:r w:rsidRPr="000F7008">
        <w:rPr>
          <w:b/>
          <w:bCs/>
        </w:rPr>
        <w:t>Gene therapy of ShH10Y-h</w:t>
      </w:r>
      <w:r w:rsidRPr="000F7008">
        <w:rPr>
          <w:b/>
          <w:bCs/>
          <w:i/>
          <w:iCs/>
        </w:rPr>
        <w:t>CRB1</w:t>
      </w:r>
      <w:r w:rsidRPr="000F7008">
        <w:rPr>
          <w:b/>
          <w:bCs/>
        </w:rPr>
        <w:t xml:space="preserve"> or ShH10Y-h</w:t>
      </w:r>
      <w:r w:rsidRPr="000F7008">
        <w:rPr>
          <w:b/>
          <w:bCs/>
          <w:i/>
          <w:iCs/>
        </w:rPr>
        <w:t>CRB2</w:t>
      </w:r>
      <w:r w:rsidRPr="000F7008">
        <w:rPr>
          <w:b/>
          <w:bCs/>
        </w:rPr>
        <w:t xml:space="preserve"> at P5 does not improve the severe retinal phenotype measured by ERG analysis at 2M of age. </w:t>
      </w:r>
      <w:r w:rsidRPr="000F7008">
        <w:t xml:space="preserve">Overview of control (A) and </w:t>
      </w:r>
      <w:r w:rsidRPr="000F7008">
        <w:rPr>
          <w:i/>
          <w:iCs/>
        </w:rPr>
        <w:t>Crb1</w:t>
      </w:r>
      <w:r w:rsidRPr="000F7008">
        <w:t xml:space="preserve"> mutant (B) rats intravitreally injected at P5 with ShH10Y</w:t>
      </w:r>
      <w:r>
        <w:t>-</w:t>
      </w:r>
      <w:r w:rsidRPr="004B597F">
        <w:rPr>
          <w:i/>
          <w:iCs/>
        </w:rPr>
        <w:t>GFP</w:t>
      </w:r>
      <w:r w:rsidRPr="000F7008">
        <w:t xml:space="preserve">, indicating the area of transduction. </w:t>
      </w:r>
      <w:r>
        <w:t xml:space="preserve">Immunohistochemical analysis of 3 months old </w:t>
      </w:r>
      <w:r>
        <w:rPr>
          <w:i/>
          <w:iCs/>
        </w:rPr>
        <w:t xml:space="preserve">Crb1 </w:t>
      </w:r>
      <w:r>
        <w:t>mutant rats intravitreally injected at P3 with ShH10Y-</w:t>
      </w:r>
      <w:r w:rsidRPr="000F0BD5">
        <w:t>h</w:t>
      </w:r>
      <w:r>
        <w:rPr>
          <w:i/>
          <w:iCs/>
        </w:rPr>
        <w:t>CRB1</w:t>
      </w:r>
      <w:r>
        <w:t xml:space="preserve"> (C) or with ShH10Y-</w:t>
      </w:r>
      <w:r w:rsidRPr="000F0BD5">
        <w:t>h</w:t>
      </w:r>
      <w:r>
        <w:rPr>
          <w:i/>
          <w:iCs/>
        </w:rPr>
        <w:t>CRB2</w:t>
      </w:r>
      <w:r>
        <w:t xml:space="preserve"> (D) revealing the expression of hCRB1 and hCRB2. </w:t>
      </w:r>
      <w:r w:rsidRPr="000F7008">
        <w:t>And 1.5 stimulus intensity ERG comparison of 2M individual rats injected with either ShH10Y-h</w:t>
      </w:r>
      <w:r w:rsidRPr="000F7008">
        <w:rPr>
          <w:i/>
          <w:iCs/>
        </w:rPr>
        <w:t>CRB1</w:t>
      </w:r>
      <w:r w:rsidRPr="000F7008">
        <w:t xml:space="preserve"> (</w:t>
      </w:r>
      <w:r>
        <w:t>E</w:t>
      </w:r>
      <w:r w:rsidRPr="000F7008">
        <w:t>) or ShH10Y-h</w:t>
      </w:r>
      <w:r w:rsidRPr="000F7008">
        <w:rPr>
          <w:i/>
          <w:iCs/>
        </w:rPr>
        <w:t>CRB2</w:t>
      </w:r>
      <w:r w:rsidRPr="000F7008">
        <w:t xml:space="preserve"> (</w:t>
      </w:r>
      <w:r>
        <w:t>F</w:t>
      </w:r>
      <w:r w:rsidRPr="000F7008">
        <w:t>) at P5 compared with PBS injected eyes. Number of animals used: P5 injection with ShH10Y-h</w:t>
      </w:r>
      <w:r w:rsidRPr="000F7008">
        <w:rPr>
          <w:i/>
          <w:iCs/>
        </w:rPr>
        <w:t>CRB1</w:t>
      </w:r>
      <w:r w:rsidRPr="000F7008">
        <w:t xml:space="preserve"> n=11; ShH10Y-h</w:t>
      </w:r>
      <w:r w:rsidRPr="000F7008">
        <w:rPr>
          <w:i/>
          <w:iCs/>
        </w:rPr>
        <w:t>CRB2</w:t>
      </w:r>
      <w:r w:rsidRPr="000F7008">
        <w:t xml:space="preserve"> n=9. </w:t>
      </w:r>
      <w:r>
        <w:t xml:space="preserve">INL = inner nuclear layer, OLM = outer limiting membrane, ONL = outer nuclear layer. </w:t>
      </w:r>
      <w:r w:rsidRPr="000F7008">
        <w:t xml:space="preserve">Scale bar: </w:t>
      </w:r>
      <w:r>
        <w:t xml:space="preserve">(A, B) </w:t>
      </w:r>
      <w:r w:rsidRPr="000F7008">
        <w:t>200</w:t>
      </w:r>
      <w:r>
        <w:t xml:space="preserve"> </w:t>
      </w:r>
      <w:r w:rsidRPr="000F7008">
        <w:t>µm</w:t>
      </w:r>
      <w:r>
        <w:t xml:space="preserve">, (C, D) </w:t>
      </w:r>
      <w:r w:rsidRPr="000F7008">
        <w:t>20</w:t>
      </w:r>
      <w:r>
        <w:t xml:space="preserve"> </w:t>
      </w:r>
      <w:r w:rsidRPr="000F7008">
        <w:t>µm</w:t>
      </w:r>
      <w:r>
        <w:t>.</w:t>
      </w:r>
    </w:p>
    <w:p w14:paraId="4D10C2AC" w14:textId="77777777" w:rsidR="008775D3" w:rsidRPr="008775D3" w:rsidRDefault="008775D3" w:rsidP="008775D3">
      <w:pPr>
        <w:pStyle w:val="MDPI62BackMatter"/>
        <w:ind w:left="0"/>
        <w:rPr>
          <w:color w:val="auto"/>
        </w:rPr>
      </w:pPr>
    </w:p>
    <w:p w14:paraId="7DA9AFD6" w14:textId="77777777" w:rsidR="00E777A6" w:rsidRPr="00AA6B2C" w:rsidRDefault="00E777A6" w:rsidP="00E777A6">
      <w:pPr>
        <w:pStyle w:val="MDPI62BackMatter"/>
        <w:ind w:left="0"/>
        <w:rPr>
          <w:b/>
        </w:rPr>
      </w:pPr>
      <w:r w:rsidRPr="00AA6B2C">
        <w:rPr>
          <w:b/>
        </w:rPr>
        <w:t>Figure S</w:t>
      </w:r>
      <w:r>
        <w:rPr>
          <w:b/>
        </w:rPr>
        <w:t>4</w:t>
      </w:r>
      <w:r w:rsidRPr="00AA6B2C">
        <w:rPr>
          <w:b/>
        </w:rPr>
        <w:t>.</w:t>
      </w:r>
      <w:r w:rsidRPr="00AA6B2C">
        <w:t xml:space="preserve"> </w:t>
      </w:r>
      <w:r w:rsidRPr="00AA6B2C">
        <w:rPr>
          <w:b/>
          <w:bCs/>
        </w:rPr>
        <w:t xml:space="preserve">Highly conserved CRB1 and CRB2 protein sequence between human and Brown Norway rats. </w:t>
      </w:r>
      <w:r w:rsidRPr="00AA6B2C">
        <w:t>Protein sequence alignment of</w:t>
      </w:r>
      <w:r>
        <w:t xml:space="preserve"> human</w:t>
      </w:r>
      <w:r w:rsidRPr="00AA6B2C">
        <w:t xml:space="preserve"> CRB1</w:t>
      </w:r>
      <w:r>
        <w:t xml:space="preserve"> with rat Crb1</w:t>
      </w:r>
      <w:r w:rsidRPr="00AA6B2C">
        <w:t xml:space="preserve"> (A) and</w:t>
      </w:r>
      <w:r>
        <w:t xml:space="preserve"> human</w:t>
      </w:r>
      <w:r w:rsidRPr="00AA6B2C">
        <w:t xml:space="preserve"> CRB2 </w:t>
      </w:r>
      <w:r>
        <w:t xml:space="preserve">with rat Crb2 </w:t>
      </w:r>
      <w:r w:rsidRPr="00AA6B2C">
        <w:t>(B)</w:t>
      </w:r>
      <w:r>
        <w:t xml:space="preserve">. </w:t>
      </w:r>
      <w:bookmarkStart w:id="1" w:name="_Hlk67303695"/>
      <w:r>
        <w:t>Protein sequence alignment reveals 75% identical matches and 84% conservative substitutions for human CRB1 compared with rat Crb1</w:t>
      </w:r>
      <w:r w:rsidRPr="00AA6B2C">
        <w:t>.</w:t>
      </w:r>
      <w:bookmarkEnd w:id="1"/>
      <w:r w:rsidRPr="00AA6B2C">
        <w:t xml:space="preserve"> </w:t>
      </w:r>
      <w:r>
        <w:t>And for human CRB2 compared with rat Crb2 there are 77% identical matches and 82% conservative substitutions  shown</w:t>
      </w:r>
      <w:r w:rsidRPr="00AA6B2C">
        <w:t>.</w:t>
      </w:r>
      <w:r>
        <w:t xml:space="preserve"> </w:t>
      </w:r>
      <w:r w:rsidRPr="00AA6B2C">
        <w:t>Upper and bold sequence is human, lower sequence is rat.</w:t>
      </w:r>
      <w:r>
        <w:t xml:space="preserve"> Sequence alignment data f</w:t>
      </w:r>
      <w:r w:rsidRPr="00AA6B2C">
        <w:t>rom Uniprot</w:t>
      </w:r>
      <w:r>
        <w:t xml:space="preserve"> and BLAST</w:t>
      </w:r>
      <w:r w:rsidRPr="00AA6B2C">
        <w:t>.</w:t>
      </w:r>
    </w:p>
    <w:p w14:paraId="53663245" w14:textId="77777777" w:rsidR="009B2E19" w:rsidRPr="008775D3" w:rsidRDefault="00DD3D7E"/>
    <w:p w14:paraId="12A375BC" w14:textId="77777777" w:rsidR="008775D3" w:rsidRPr="008775D3" w:rsidRDefault="008775D3"/>
    <w:sectPr w:rsidR="008775D3" w:rsidRPr="008775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5D3"/>
    <w:rsid w:val="00111530"/>
    <w:rsid w:val="00223D7E"/>
    <w:rsid w:val="00232A6C"/>
    <w:rsid w:val="0028776B"/>
    <w:rsid w:val="006223F4"/>
    <w:rsid w:val="00876DA4"/>
    <w:rsid w:val="008775D3"/>
    <w:rsid w:val="00C20791"/>
    <w:rsid w:val="00CF4C48"/>
    <w:rsid w:val="00DD3D7E"/>
    <w:rsid w:val="00E777A6"/>
    <w:rsid w:val="00F7121F"/>
    <w:rsid w:val="00FE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449E4"/>
  <w15:chartTrackingRefBased/>
  <w15:docId w15:val="{F62DD840-4E6F-4271-AA9B-EC451526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62BackMatter">
    <w:name w:val="MDPI_6.2_BackMatter"/>
    <w:qFormat/>
    <w:rsid w:val="008775D3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styleId="Caption">
    <w:name w:val="caption"/>
    <w:basedOn w:val="Normal"/>
    <w:next w:val="Normal"/>
    <w:uiPriority w:val="35"/>
    <w:unhideWhenUsed/>
    <w:qFormat/>
    <w:rsid w:val="008775D3"/>
    <w:pPr>
      <w:spacing w:line="240" w:lineRule="auto"/>
      <w:jc w:val="both"/>
    </w:pPr>
    <w:rPr>
      <w:rFonts w:ascii="Palatino Linotype" w:eastAsia="SimSun" w:hAnsi="Palatino Linotype" w:cs="Times New Roman"/>
      <w:i/>
      <w:iCs/>
      <w:noProof/>
      <w:color w:val="1F497D" w:themeColor="text2"/>
      <w:sz w:val="18"/>
      <w:szCs w:val="18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2263</Characters>
  <Application>Microsoft Office Word</Application>
  <DocSecurity>0</DocSecurity>
  <Lines>39</Lines>
  <Paragraphs>13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Boon, N. (OOG)</dc:creator>
  <cp:keywords/>
  <dc:description/>
  <cp:lastModifiedBy>Boon, N. (OOG)</cp:lastModifiedBy>
  <cp:revision>3</cp:revision>
  <dcterms:created xsi:type="dcterms:W3CDTF">2021-03-22T13:48:00Z</dcterms:created>
  <dcterms:modified xsi:type="dcterms:W3CDTF">2021-03-24T20:03:00Z</dcterms:modified>
</cp:coreProperties>
</file>